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Default Extension="fntdata" ContentType="application/x-fontdata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val="clear" w:color="auto" w:fill="35394F"/>
            <w:tcMar>
              <w:top w:w="240" w:type="dxa"/>
              <w:left w:w="0" w:type="dxa"/>
              <w:bottom w:w="240" w:type="dxa"/>
              <w:right w:w="0" w:type="dxa"/>
            </w:tcMar>
          </w:tcPr>
          <w:p>
            <w:pPr>
              <w:spacing w:before="0" w:after="0" w:line="240" w:lineRule="auto"/>
              <w:ind w:left="260" w:right="260"/>
              <w:jc w:val="right"/>
            </w:pPr>
            <w:hyperlink r:id="rId10">
              <w:r>
                <w:drawing>
                  <wp:inline xmlns:a="http://schemas.openxmlformats.org/drawingml/2006/main" xmlns:pic="http://schemas.openxmlformats.org/drawingml/2006/picture">
                    <wp:extent cx="720000" cy="391800"/>
                    <wp:docPr id="1" name="Picture 1" descr="ETHYX — ethyx.eu" title="ETHYX — ethyx.eu"/>
                    <wp:cNvGraphicFramePr>
                      <a:graphicFrameLocks noChangeAspect="1"/>
                    </wp:cNvGraphicFramePr>
                    <a:graphic>
                      <a:graphicData uri="http://schemas.openxmlformats.org/drawingml/2006/picture">
                        <pic:pic>
                          <pic:nvPicPr>
                            <pic:cNvPr id="0" name="logo-lockup.png"/>
                            <pic:cNvPicPr/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20000" cy="391800"/>
                            </a:xfrm>
                            <a:prstGeom prst="rect"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>
            <w:pPr>
              <w:spacing w:before="0" w:after="0" w:line="240" w:lineRule="exact"/>
              <w:ind w:left="260" w:right="260"/>
            </w:pPr>
          </w:p>
          <w:p>
            <w:pPr>
              <w:spacing w:before="0" w:after="0" w:line="252" w:lineRule="auto"/>
              <w:ind w:left="260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FFFFFF"/>
                <w:sz w:val="44"/>
              </w:rPr>
              <w:t>KI-Kompetenz-Schulungsvorlage</w:t>
            </w:r>
          </w:p>
          <w:p>
            <w:pPr>
              <w:spacing w:before="100" w:after="0" w:line="276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FFFFFF"/>
                <w:sz w:val="21"/>
              </w:rPr>
              <w:t>EU-KI-Gesetz Art. 4 · Einsatzbereite Schulungsunterlage für KMU · DE</w:t>
            </w:r>
          </w:p>
          <w:p>
            <w:pPr>
              <w:spacing w:before="140" w:after="0" w:line="288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E5E7EB"/>
                <w:sz w:val="15"/>
              </w:rPr>
              <w:t>Rechtlich geprüft von einem zertifizierten Datenschutzbeauftragten (CIPP/E) · Bereitgestellt von ETHYX · Version 1.0 · Juni 2026</w:t>
            </w:r>
          </w:p>
        </w:tc>
      </w:tr>
    </w:tbl>
    <w:p>
      <w:pPr>
        <w:shd w:val="clear" w:color="auto" w:fill="E34663"/>
        <w:spacing w:before="0" w:after="200" w:line="60" w:lineRule="exact"/>
      </w:pPr>
    </w:p>
    <w:p>
      <w:pPr>
        <w:spacing w:before="0" w:after="0" w:line="1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45"/>
        <w:gridCol w:w="9819"/>
      </w:tblGrid>
      <w:tr>
        <w:trPr>
          <w:cantSplit w:val="1"/>
        </w:trPr>
        <w:tc>
          <w:tcPr>
            <w:tcW w:type="dxa" w:w="45"/>
            <w:shd w:val="clear" w:color="auto" w:fill="E34663"/>
            <w:tcMar>
              <w:top w:w="130" w:type="dxa"/>
              <w:left w:w="0" w:type="dxa"/>
              <w:bottom w:w="130" w:type="dxa"/>
              <w:right w:w="0" w:type="dxa"/>
            </w:tcMar>
          </w:tcPr>
          <w:p/>
        </w:tc>
        <w:tc>
          <w:tcPr>
            <w:tcW w:type="dxa" w:w="9819"/>
            <w:shd w:val="clear" w:color="auto" w:fill="FEF6F7"/>
            <w:tcMar>
              <w:top w:w="130" w:type="dxa"/>
              <w:left w:w="0" w:type="dxa"/>
              <w:bottom w:w="130" w:type="dxa"/>
              <w:right w:w="0" w:type="dxa"/>
            </w:tcMar>
          </w:tcPr>
          <w:p>
            <w:pPr>
              <w:spacing w:before="0" w:after="0" w:line="312" w:lineRule="auto"/>
              <w:ind w:left="215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E34663"/>
                <w:spacing w:val="8"/>
                <w:sz w:val="16"/>
              </w:rPr>
              <w:t xml:space="preserve">» ANLEITUNG  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16"/>
              </w:rPr>
              <w:t>Art. 4 EU-KI-Gesetz verpflichtet Organisationen sicherzustellen, dass ihre Mitarbeitenden über ausreichende KI-Kompetenz verfügen. Diese Vorlage ist ein vollständiges Schulungsprogramm zum Anpassen und Durchführen. Nutzen Sie Teil A zur Planung, Teil B als Inhalts-/Folienübersicht und Teil C zur Wissensüberprüfung und Teilnahmedokumentation. Passen Sie die Tiefe an jede Rolle an. Löschen Sie diesen Kasten und alle [Platzhalter] vor Fertigstellung.</w:t>
            </w:r>
          </w:p>
        </w:tc>
      </w:tr>
    </w:tbl>
    <w:p>
      <w:pPr>
        <w:spacing w:before="0" w:after="0" w:line="1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Warum KI-Kompetenz eine gesetzliche Pflicht ist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Seit dem 2. Februar 2025 verpflichtet Art. 4 des EU-KI-Gesetzes Anbieter und Betreiber von KI-Systemen, Maßnahmen zu ergreifen, um nach besten Kräften ein ausreichendes Maß an KI-Kompetenz bei Mitarbeitenden und anderen Personen sicherzustellen, die KI-Systeme in ihrem Auftrag betreiben. Es gibt keine Ausnahme für kleine Unternehmen. Die Kompetenz muss der Rolle der Person, den genutzten KI-Systemen und dem Verwendungskontext angemessen sein.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Dies ist keine optionale Schulung – es ist eine dokumentierte Compliance-Pflicht. Aufzeichnungen darüber, wer wann und worüber geschult wurde, sind Ihr Compliance-Nachweis, wenn eine Aufsichtsbehörde nachfragt.</w:t>
      </w:r>
    </w:p>
    <w:p>
      <w:pPr>
        <w:pBdr>
          <w:top w:val="single" w:sz="4" w:space="0" w:color="E5E7EB"/>
        </w:pBdr>
        <w:spacing w:before="200" w:after="200" w:line="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A – Schulungsplan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Definieren Sie den Umfang Ihres Schulungsprogramms vor der Durchführung.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Organisation:  ([UNTERNEHMENSNAME])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Schulungskoordinator:  (Name, Rolle)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Zielgruppe:  (Alle Mitarbeitenden / bestimmte Teams / KI-Verantwortliche)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Durchführungsformat:  (Workshop / E-Learning / Onboarding / Briefing)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Geplante(s) Datum(e):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3551"/>
        <w:gridCol w:w="6313"/>
      </w:tblGrid>
      <w:tr>
        <w:trPr>
          <w:cantSplit w:val="1"/>
        </w:trPr>
        <w:tc>
          <w:tcPr>
            <w:tcW w:type="dxa" w:w="3551"/>
            <w:tcBorders>
              <w:bottom w:val="single" w:sz="2" w:space="0" w:color="E5E7EB"/>
            </w:tcBorders>
            <w:shd w:val="clear" w:color="auto" w:fill="F9FAFB"/>
            <w:tcMar>
              <w:top w:w="90" w:type="dxa"/>
              <w:left w:w="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olor w:val="35394F"/>
                <w:sz w:val="20"/>
              </w:rPr>
              <w:t>Häufigkeit:  (z. B. bei Einstellung + jährliche Auffrischung)</w:t>
            </w:r>
          </w:p>
        </w:tc>
        <w:tc>
          <w:tcPr>
            <w:tcW w:type="dxa" w:w="6313"/>
            <w:tcBorders>
              <w:bottom w:val="single" w:sz="4" w:space="0" w:color="6B7280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Zielgruppenstufen – Tiefe an Rolle anpassen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Nicht alle benötigen dieselbe Tiefe. Legen Sie fest, welcher Stufe jede Gruppe angehört: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35394F"/>
          <w:sz w:val="20"/>
        </w:rPr>
        <w:t>☐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Stufe 1 – Alle Mitarbeitenden (Bewusstsein): Grundverständnis, was KI ist, welche Tools das Unternehmen nutzt, die KI-Nutzungsrichtlinie und wie man Bedenken äußert.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35394F"/>
          <w:sz w:val="20"/>
        </w:rPr>
        <w:t>☐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Stufe 2 – Regelmäßige KI-Nutzer (operativ): Mitarbeitende, die täglich KI-Tools nutzen – Prompt-Hygiene, Datenschutz, Erkennen von Grenzen und Halluzinationen, wann menschliche Prüfung nötig ist.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35394F"/>
          <w:sz w:val="20"/>
        </w:rPr>
        <w:t>☐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Stufe 3 – KI-Verantwortliche / Entscheider (fortgeschritten): Personen, die Hochrisikosysteme auswählen, konfigurieren oder überwachen – Art. 26 Betreiberpflichten, menschliche Aufsicht, Monitoring, Eskalation.</w:t>
      </w:r>
    </w:p>
    <w:p>
      <w:pPr>
        <w:spacing w:before="0" w:after="0" w:line="8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B – Schulungsinhalt (Sitzungsübersicht)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Nutzen Sie die folgenden Module als Sitzungsstruktur oder Folienübersicht. Jedes Modul nennt das Lernziel und die zu behandelnden Kernpunkte. Passen Sie die Beispiele an die tatsächlichen KI-Systeme Ihrer Organisation an.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1 – Was ist KI? (15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Teilnehmende erkennen KI-Systeme in ihrer täglichen Arbeit.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Definition gemäß Art. 3(1) EU-KI-Gesetz: ein maschinenbasiertes System, das mit gewisser Autonomie Ergebnisse (Vorhersagen, Empfehlungen, Entscheidungen, Inhalte) erzeugt.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Alltagsbeispiele: Chatbots, Schreibassistenten (Copilot, ChatGPT), Lead-Scoring, Lebenslauf-Screening, Empfehlungssysteme, Betrugserkennung.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Was KEINE KI ist: einfache regelbasierte Automatisierung, Taschenrechner, Standardsuche.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/>
          <w:i w:val="0"/>
          <w:color w:val="E34663"/>
          <w:sz w:val="20"/>
        </w:rPr>
        <w:t>[Einfügen: die spezifischen KI-Systeme Ihrer Organisation – aus Ihrem KI-System-Inventar.]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2 – Die vier Risikostufen (15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Teilnehmende verstehen, dass Pflichten mit dem Risiko skalieren.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Verboten (Art. 5): untersagte Praktiken – z. B. Social Scoring, manipulative KI, ungezieltes Gesichts-Scraping.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Hohes Risiko (Art. 6 + Anhang III): z. B. KI in Einstellung, Kredit, wesentlichen Diensten – strenge Betreiberpflichten.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Begrenztes Risiko (Art. 50): Chatbots und synthetische Inhalte – Transparenz/Offenlegung erforderlich.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Minimales Risiko: die meisten Allzweck-Tools – gute Praxis, keine Pflichten.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/>
          <w:i w:val="0"/>
          <w:color w:val="E34663"/>
          <w:sz w:val="20"/>
        </w:rPr>
        <w:t>[Einfügen: die Risikoeinstufung jedes von Ihrer Organisation genutzten Systems.]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3 – Verantwortungsvolle KI-Nutzung im Alltag (20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Teilnehmende wenden sichere Nutzungsgewohnheiten an.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Datenschutz: niemals vertrauliche, personenbezogene oder Kundendaten ohne Genehmigung in öffentliche KI-Tools eingeben.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Ergebnisse prüfen: KI kann selbstbewusst falsch liegen (Halluzinationen) – Fakten, Zahlen und Quellen prüfen.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Menschliche Aufsicht: KI unterstützt, Menschen entscheiden – besonders bei Entscheidungen über Personen.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Bias-Bewusstsein: KI kann Vorurteile reproduzieren und verstärken – unerwartete oder diskriminierende Ergebnisse hinterfragen.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Offenlegung: Personen mitteilen, wenn sie mit KI oder KI-generierten Inhalten interagieren (Art. 50).</w:t>
      </w:r>
    </w:p>
    <w:p>
      <w:pPr>
        <w:keepNext w:val="1"/>
        <w:keepLines w:val="1"/>
        <w:spacing w:before="180" w:after="6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1"/>
        </w:rPr>
        <w:t>Modul 4 – Unsere Richtlinien und Ihre Verantwortung (10 Min.)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Ziel: Teilnehmende kennen die Regeln und den Eskalationsweg.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Die KI-Nutzungsrichtlinie der Organisation – genehmigte Tools, verbotene Nutzungen.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Wie man die Genehmigung für ein neues KI-Tool beantragt (zur Vermeidung von Shadow-KI).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Wen man bei Fragen oder zur Meldung von Bedenken oder Vorfällen kontaktiert.</w:t>
      </w:r>
    </w:p>
    <w:p>
      <w:pPr>
        <w:spacing w:before="0" w:after="60" w:line="324" w:lineRule="auto"/>
        <w:ind w:left="543" w:hanging="283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•</w:t>
        <w:tab/>
      </w:r>
      <w:r>
        <w:rPr>
          <w:rFonts w:ascii="Inter" w:hAnsi="Inter" w:cs="Inter" w:eastAsia="Inter"/>
          <w:b/>
          <w:i w:val="0"/>
          <w:color w:val="E34663"/>
          <w:sz w:val="20"/>
        </w:rPr>
        <w:t>[Einfügen: Zusammenfassung Ihrer Nutzungsrichtlinie, Genehmigungsprozess und Ansprechpartner.]</w:t>
      </w: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 C – Wissensüberprüfung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Eine kurze Überprüfung bestätigt das Verständnis und liefert Ihnen einen dokumentierten Nachweis wirksamer Schulung. Passen Sie diese Fragen an Ihren Kontext an.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1.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Nennen Sie zwei KI-Systeme, die unsere Organisation nutzt, und ihre Risikostufe.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2.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Welche Art von Daten darf ohne Genehmigung niemals in ein öffentliches KI-Tool eingegeben werden?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3.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Was ist eine KI-'Halluzination' und was sollten Sie tun, wenn Sie eine entdecken?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4.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Wann müssen Sie jemandem mitteilen, dass er mit KI interagiert (Art. 50)?</w:t>
      </w:r>
    </w:p>
    <w:p>
      <w:pPr>
        <w:spacing w:before="0" w:after="60" w:line="324" w:lineRule="auto"/>
        <w:ind w:left="657" w:hanging="397" w:right="260"/>
      </w:pPr>
      <w:r>
        <w:rPr>
          <w:rFonts w:ascii="Inter" w:hAnsi="Inter" w:cs="Inter" w:eastAsia="Inter"/>
          <w:b/>
          <w:i w:val="0"/>
          <w:color w:val="E34663"/>
          <w:sz w:val="20"/>
        </w:rPr>
        <w:t>5.</w:t>
        <w:tab/>
      </w:r>
      <w:r>
        <w:rPr>
          <w:rFonts w:ascii="Inter" w:hAnsi="Inter" w:cs="Inter" w:eastAsia="Inter"/>
          <w:b w:val="0"/>
          <w:i w:val="0"/>
          <w:color w:val="35394F"/>
          <w:sz w:val="20"/>
        </w:rPr>
        <w:t>Wen kontaktieren Sie, um ein neues KI-Tool genehmigen zu lassen oder Bedenken zu melden?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45"/>
        <w:gridCol w:w="9819"/>
      </w:tblGrid>
      <w:tr>
        <w:trPr>
          <w:cantSplit w:val="1"/>
        </w:trPr>
        <w:tc>
          <w:tcPr>
            <w:tcW w:type="dxa" w:w="45"/>
            <w:shd w:val="clear" w:color="auto" w:fill="E34663"/>
            <w:tcMar>
              <w:top w:w="130" w:type="dxa"/>
              <w:left w:w="0" w:type="dxa"/>
              <w:bottom w:w="130" w:type="dxa"/>
              <w:right w:w="0" w:type="dxa"/>
            </w:tcMar>
          </w:tcPr>
          <w:p/>
        </w:tc>
        <w:tc>
          <w:tcPr>
            <w:tcW w:type="dxa" w:w="9819"/>
            <w:shd w:val="clear" w:color="auto" w:fill="FEF6F7"/>
            <w:tcMar>
              <w:top w:w="130" w:type="dxa"/>
              <w:left w:w="0" w:type="dxa"/>
              <w:bottom w:w="130" w:type="dxa"/>
              <w:right w:w="0" w:type="dxa"/>
            </w:tcMar>
          </w:tcPr>
          <w:p>
            <w:pPr>
              <w:spacing w:before="0" w:after="0" w:line="312" w:lineRule="auto"/>
              <w:ind w:left="215" w:right="260"/>
            </w:pPr>
            <w:r>
              <w:rPr>
                <w:rFonts w:ascii="Funnel Display" w:hAnsi="Funnel Display" w:cs="Funnel Display" w:eastAsia="Funnel Display"/>
                <w:b/>
                <w:i w:val="0"/>
                <w:color w:val="E34663"/>
                <w:spacing w:val="8"/>
                <w:sz w:val="16"/>
              </w:rPr>
              <w:t xml:space="preserve">» ANLEITUNG  </w:t>
            </w:r>
            <w:r>
              <w:rPr>
                <w:rFonts w:ascii="Inter" w:hAnsi="Inter" w:cs="Inter" w:eastAsia="Inter"/>
                <w:b w:val="0"/>
                <w:i w:val="0"/>
                <w:color w:val="35394F"/>
                <w:sz w:val="16"/>
              </w:rPr>
              <w:t>Halten Sie es einfach – dies ist eine Verständnisprüfung, keine Prüfung. Ein Quiz mit 5 Fragen, eine kurze Diskussion oder eine unterschriebene Bestätigung des Verständnisses erfüllen den Dokumentationszweck. Schulen Sie alle nach, die unsicher sind.</w:t>
            </w:r>
          </w:p>
        </w:tc>
      </w:tr>
    </w:tbl>
    <w:p>
      <w:pPr>
        <w:spacing w:before="0" w:after="0" w:line="120" w:lineRule="exact"/>
      </w:pPr>
    </w:p>
    <w:p>
      <w:pPr>
        <w:keepNext w:val="1"/>
        <w:keepLines w:val="1"/>
        <w:pBdr>
          <w:top w:val="single" w:sz="4" w:space="0" w:color="E5E7EB"/>
        </w:pBdr>
        <w:spacing w:before="200" w:after="0" w:line="20" w:lineRule="exact"/>
      </w:pPr>
    </w:p>
    <w:p>
      <w:pPr>
        <w:keepNext w:val="1"/>
        <w:keepLines w:val="1"/>
        <w:spacing w:before="160" w:after="100" w:line="276" w:lineRule="auto"/>
        <w:ind w:left="260" w:right="260"/>
      </w:pPr>
      <w:r>
        <w:rPr>
          <w:rFonts w:ascii="Funnel Display" w:hAnsi="Funnel Display" w:cs="Funnel Display" w:eastAsia="Funnel Display"/>
          <w:b/>
          <w:i w:val="0"/>
          <w:color w:val="35394F"/>
          <w:sz w:val="26"/>
        </w:rPr>
        <w:t>Teilnahmenachweis</w:t>
      </w:r>
    </w:p>
    <w:p>
      <w:pPr>
        <w:spacing w:before="0" w:after="120" w:line="324" w:lineRule="auto"/>
        <w:ind w:left="260" w:right="260"/>
      </w:pPr>
      <w:r>
        <w:rPr>
          <w:rFonts w:ascii="Inter" w:hAnsi="Inter" w:cs="Inter" w:eastAsia="Inter"/>
          <w:b w:val="0"/>
          <w:i w:val="0"/>
          <w:color w:val="35394F"/>
          <w:sz w:val="20"/>
        </w:rPr>
        <w:t>Erfassen Sie alle, die die Schulung abgeschlossen haben. Dies ist Ihr Art. 4-Compliance-Nachweis. (Sie können auch Formular 1 des Betreiber-Dokumentationspakets für Sitzungsnachweise verwenden.)</w:t>
      </w: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1590"/>
        <w:gridCol w:w="1916"/>
        <w:gridCol w:w="1500"/>
        <w:gridCol w:w="2608"/>
        <w:gridCol w:w="2251"/>
      </w:tblGrid>
      <w:tr>
        <w:trPr>
          <w:cantSplit w:val="1"/>
          <w:tblHeader w:val="1"/>
        </w:trPr>
        <w:tc>
          <w:tcPr>
            <w:tcW w:type="dxa" w:w="1590"/>
            <w:shd w:val="clear" w:color="auto" w:fill="35394F"/>
            <w:tcMar>
              <w:top w:w="70" w:type="dxa"/>
              <w:left w:w="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  <w:ind w:left="260" w:right="0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Name</w:t>
            </w:r>
          </w:p>
        </w:tc>
        <w:tc>
          <w:tcPr>
            <w:tcW w:type="dxa" w:w="1916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Abteilung / Rolle</w:t>
            </w:r>
          </w:p>
        </w:tc>
        <w:tc>
          <w:tcPr>
            <w:tcW w:type="dxa" w:w="1500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Stufe (1/2/3)</w:t>
            </w:r>
          </w:p>
        </w:tc>
        <w:tc>
          <w:tcPr>
            <w:tcW w:type="dxa" w:w="2608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Abschlussdatum</w:t>
            </w:r>
          </w:p>
        </w:tc>
        <w:tc>
          <w:tcPr>
            <w:tcW w:type="dxa" w:w="2251"/>
            <w:shd w:val="clear" w:color="auto" w:fill="35394F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Inter" w:hAnsi="Inter" w:cs="Inter" w:eastAsia="Inter"/>
                <w:b/>
                <w:i w:val="0"/>
                <w:caps w:val="1"/>
                <w:color w:val="FFFFFF"/>
                <w:spacing w:val="8"/>
                <w:sz w:val="15"/>
              </w:rPr>
              <w:t>Unterschrift</w:t>
            </w: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9FAFB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  <w:tr>
        <w:trPr>
          <w:cantSplit w:val="1"/>
        </w:trPr>
        <w:tc>
          <w:tcPr>
            <w:tcW w:type="dxa" w:w="159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  <w:ind w:left="260" w:right="0"/>
            </w:pPr>
          </w:p>
        </w:tc>
        <w:tc>
          <w:tcPr>
            <w:tcW w:type="dxa" w:w="1916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1500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608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  <w:tc>
          <w:tcPr>
            <w:tcW w:type="dxa" w:w="2251"/>
            <w:tcBorders>
              <w:bottom w:val="single" w:sz="2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top"/>
          </w:tcPr>
          <w:p>
            <w:pPr>
              <w:spacing w:before="0" w:after="0" w:line="300" w:lineRule="auto"/>
            </w:pPr>
          </w:p>
        </w:tc>
      </w:tr>
    </w:tbl>
    <w:p>
      <w:pPr>
        <w:spacing w:before="0" w:after="0" w:line="160" w:lineRule="exact"/>
      </w:pPr>
    </w:p>
    <w:p>
      <w:pPr>
        <w:pBdr>
          <w:top w:val="single" w:sz="4" w:space="0" w:color="E5E7EB"/>
        </w:pBdr>
        <w:spacing w:before="200" w:after="200" w:line="20" w:lineRule="exact"/>
      </w:pPr>
    </w:p>
    <w:tbl>
      <w:tblPr>
        <w:tblW w:w="986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 w:val="1"/>
        </w:trPr>
        <w:tc>
          <w:tcPr>
            <w:tcW w:type="dxa" w:w="9865"/>
            <w:tcBorders>
              <w:top w:val="single" w:sz="8" w:space="0" w:color="35394F"/>
            </w:tcBorders>
            <w:shd w:val="clear" w:color="auto" w:fill="F9FAFB"/>
            <w:tcMar>
              <w:top w:w="150" w:type="dxa"/>
              <w:left w:w="0" w:type="dxa"/>
              <w:bottom w:w="150" w:type="dxa"/>
              <w:right w:w="0" w:type="dxa"/>
            </w:tcMar>
          </w:tcPr>
          <w:p>
            <w:pPr>
              <w:spacing w:before="0" w:after="0" w:line="312" w:lineRule="auto"/>
              <w:ind w:left="260" w:right="260"/>
            </w:pPr>
            <w:r>
              <w:rPr>
                <w:rFonts w:ascii="Inter" w:hAnsi="Inter" w:cs="Inter" w:eastAsia="Inter"/>
                <w:b w:val="0"/>
                <w:i w:val="0"/>
                <w:color w:val="6B7280"/>
                <w:sz w:val="16"/>
              </w:rPr>
              <w:t>Diese Vorlage dient nur als Orientierung und stellt keine Rechtsberatung dar. Sie basiert auf der Verordnung (EU) 2024/1689 (EU-KI-Gesetz). Geprüft von einem zertifizierten Datenschutzbeauftragten (CIPP/E). Bereitgestellt von ETHYX – ethyx.eu. DSGVO-Höchststrafe: 20 Mio. € / 4 % Umsatz. EU-KI-Gesetz-Höchststrafe: 35 Mio. € / 7 % Umsatz. Lassen Sie Ihr Schulungsprogramm von einem qualifizierten Datenschutzbeauftragten oder Anwalt prüfen. Version 1.0 · Juni 2026.</w:t>
            </w:r>
          </w:p>
        </w:tc>
      </w:tr>
    </w:tbl>
    <w:sectPr w:rsidR="00FC693F" w:rsidRPr="0006063C" w:rsidSect="00034616">
      <w:footerReference w:type="default" r:id="rId11"/>
      <w:pgSz w:w="11906" w:h="16838"/>
      <w:pgMar w:top="794" w:right="1020" w:bottom="850" w:left="1020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nter">
    <w:altName w:val="Arial"/>
    <w:embedRegular r:id="rId1" w:fontKey="{5266F95D-EDF6-4E2D-AAF1-2ED511656686}"/>
    <w:embedBold r:id="rId2" w:fontKey="{0F1F5D21-AFCE-49FD-8404-977A22413DBC}"/>
  </w:font>
  <w:font w:name="Funnel Display">
    <w:altName w:val="Arial"/>
    <w:embedBold r:id="rId3" w:fontKey="{F2A2AADD-4783-4BC6-BAA5-15A535117F0E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0" w:lineRule="exact"/>
    </w:pPr>
    <w:r/>
  </w:p>
  <w:tbl>
    <w:tblPr>
      <w:tblW w:w="98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firstColumn="1" w:firstRow="1" w:lastColumn="0" w:lastRow="0" w:noHBand="0" w:noVBand="1" w:val="04A0"/>
    </w:tblPr>
    <w:tblGrid>
      <w:gridCol w:w="9371"/>
      <w:gridCol w:w="493"/>
    </w:tblGrid>
    <w:tr>
      <w:tc>
        <w:tcPr>
          <w:tcW w:type="dxa" w:w="9371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0" w:type="dxa"/>
          </w:tcMar>
        </w:tcPr>
        <w:p>
          <w:pPr>
            <w:spacing w:before="0" w:after="0" w:line="240" w:lineRule="auto"/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KI-Kompetenz-Schulungsvorlage · Geprüft von einem zertifizierten Datenschutzbeauftragten (CIPP/E) · Bereitgestellt von ETHYX (</w:t>
          </w:r>
          <w:hyperlink r:id="rId1">
            <w:r>
              <w:rPr>
                <w:rFonts w:ascii="Inter" w:hAnsi="Inter" w:cs="Inter" w:eastAsia="Inter"/>
                <w:b w:val="0"/>
                <w:i w:val="0"/>
                <w:color w:val="6B7280"/>
                <w:sz w:val="14"/>
              </w:rPr>
              <w:t>ethyx.eu</w:t>
            </w:r>
          </w:hyperlink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>) · Nur zur Orientierung – keine Rechtsberatung</w:t>
          </w:r>
        </w:p>
      </w:tc>
      <w:tc>
        <w:tcPr>
          <w:tcW w:type="dxa" w:w="493"/>
          <w:tcBorders>
            <w:top w:val="single" w:sz="4" w:space="0" w:color="E5E7EB"/>
          </w:tcBorders>
          <w:tcMar>
            <w:top w:w="110" w:type="dxa"/>
            <w:left w:w="0" w:type="dxa"/>
            <w:bottom w:w="0" w:type="dxa"/>
            <w:right w:w="260" w:type="dxa"/>
          </w:tcMar>
        </w:tcPr>
        <w:p>
          <w:pPr>
            <w:spacing w:before="0" w:after="0" w:line="240" w:lineRule="auto"/>
            <w:jc w:val="right"/>
            <w:rPr>
              <w:rFonts w:ascii="Inter" w:hAnsi="Inter" w:cs="Inter" w:eastAsia="Inter"/>
              <w:b w:val="0"/>
              <w:i w:val="0"/>
              <w:color w:val="6B7280"/>
              <w:sz w:val="14"/>
            </w:rPr>
          </w:pP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begin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instrText xml:space="preserve"> PAGE </w:instrText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separate"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t/>
          </w:r>
          <w:r>
            <w:rPr>
              <w:rFonts w:ascii="Inter" w:hAnsi="Inter" w:cs="Inter" w:eastAsia="Inter"/>
              <w:b w:val="0"/>
              <w:i w:val="0"/>
              <w:color w:val="6B7280"/>
              <w:sz w:val="14"/>
            </w:rPr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embedTrueTypeFonts w:val="true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300" w:lineRule="auto"/>
    </w:pPr>
    <w:rPr>
      <w:rFonts w:ascii="Inter" w:hAnsi="Inter" w:cs="Inter" w:eastAsia="Inter"/>
      <w:color w:val="35394F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ethyx.eu/?utm_source=gated-asset&amp;utm_medium=document&amp;utm_campaign=ki-kompetenz-schulungsvorlage-de" TargetMode="External"/><Relationship Id="rId11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fntdata"/><Relationship Id="rId2" Type="http://schemas.openxmlformats.org/officeDocument/2006/relationships/font" Target="fonts/font2.fntdata"/><Relationship Id="rId3" Type="http://schemas.openxmlformats.org/officeDocument/2006/relationships/font" Target="fonts/font3.fntdata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ethyx.eu/?utm_source=gated-asset&amp;utm_medium=document&amp;utm_campaign=ki-kompetenz-schulungsvorlage-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KI-Kompetenz-Schulungsvorlage</dc:title>
  <dc:subject/>
  <dc:creator>ETHYX</dc:creator>
  <cp:keywords/>
  <dc:description>Rechtlich geprüft von einem zertifizierten Datenschutzbeauftragten (CIPP/E) · Bereitgestellt von ETHYX · Version 1.0 · Juni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